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04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85"/>
        <w:gridCol w:w="723"/>
        <w:gridCol w:w="4536"/>
      </w:tblGrid>
      <w:tr>
        <w:trPr/>
        <w:tc>
          <w:tcPr>
            <w:tcW w:w="4785" w:type="dxa"/>
            <w:tcBorders/>
            <w:shd w:color="auto" w:fill="auto" w:val="clear"/>
          </w:tcPr>
          <w:p>
            <w:pPr>
              <w:pStyle w:val="Style22"/>
              <w:widowControl w:val="false"/>
              <w:tabs>
                <w:tab w:val="clear" w:pos="708"/>
                <w:tab w:val="left" w:pos="7230" w:leader="none"/>
              </w:tabs>
              <w:rPr/>
            </w:pPr>
            <w:r>
              <w:rPr>
                <w:b/>
                <w:sz w:val="24"/>
              </w:rPr>
              <w:t xml:space="preserve">МИНИСТЕРСТВО </w:t>
            </w:r>
            <w:r>
              <w:rPr>
                <w:b/>
                <w:caps/>
                <w:sz w:val="24"/>
              </w:rPr>
              <w:t>ПРОСВЕЩЕНИЯ</w:t>
              <w:br/>
            </w:r>
            <w:r>
              <w:rPr>
                <w:b/>
                <w:sz w:val="24"/>
              </w:rPr>
              <w:t>РОССИЙСКОЙ ФЕДЕРАЦИИ</w:t>
              <w:br/>
            </w:r>
          </w:p>
          <w:p>
            <w:pPr>
              <w:pStyle w:val="Style22"/>
              <w:widowControl w:val="false"/>
              <w:tabs>
                <w:tab w:val="clear" w:pos="708"/>
                <w:tab w:val="left" w:pos="7230" w:leader="none"/>
              </w:tabs>
              <w:rPr/>
            </w:pPr>
            <w:r>
              <w:rPr>
                <w:b/>
                <w:sz w:val="24"/>
              </w:rPr>
              <w:t>(МИНПРОСВЕЩЕНИЯ РОССИИ)</w:t>
            </w:r>
          </w:p>
        </w:tc>
        <w:tc>
          <w:tcPr>
            <w:tcW w:w="723" w:type="dxa"/>
            <w:tcBorders/>
            <w:shd w:color="auto" w:fill="auto" w:val="clear"/>
          </w:tcPr>
          <w:p>
            <w:pPr>
              <w:pStyle w:val="Normal"/>
              <w:widowControl w:val="false"/>
              <w:tabs>
                <w:tab w:val="clear" w:pos="708"/>
                <w:tab w:val="left" w:pos="7230" w:leader="none"/>
              </w:tabs>
              <w:snapToGrid w:val="false"/>
              <w:jc w:val="center"/>
              <w:rPr>
                <w:b/>
                <w:b/>
                <w:sz w:val="24"/>
              </w:rPr>
            </w:pPr>
            <w:r>
              <w:rPr>
                <w:b/>
                <w:sz w:val="24"/>
              </w:rPr>
            </w:r>
          </w:p>
        </w:tc>
        <w:tc>
          <w:tcPr>
            <w:tcW w:w="4536" w:type="dxa"/>
            <w:tcBorders/>
            <w:shd w:color="auto" w:fill="auto" w:val="clear"/>
          </w:tcPr>
          <w:p>
            <w:pPr>
              <w:pStyle w:val="Style22"/>
              <w:widowControl w:val="false"/>
              <w:tabs>
                <w:tab w:val="clear" w:pos="708"/>
                <w:tab w:val="left" w:pos="7230" w:leader="none"/>
              </w:tabs>
              <w:rPr/>
            </w:pPr>
            <w:r>
              <w:rPr>
                <w:b/>
                <w:sz w:val="24"/>
              </w:rPr>
              <w:t>ФЕДЕРАЛЬНАЯ СЛУЖБА</w:t>
            </w:r>
          </w:p>
          <w:p>
            <w:pPr>
              <w:pStyle w:val="Style22"/>
              <w:widowControl w:val="false"/>
              <w:tabs>
                <w:tab w:val="clear" w:pos="708"/>
                <w:tab w:val="left" w:pos="7230" w:leader="none"/>
              </w:tabs>
              <w:rPr/>
            </w:pPr>
            <w:r>
              <w:rPr>
                <w:b/>
                <w:sz w:val="24"/>
              </w:rPr>
              <w:t>ПО НАДЗОРУ В СФЕРЕ</w:t>
            </w:r>
          </w:p>
          <w:p>
            <w:pPr>
              <w:pStyle w:val="Style22"/>
              <w:widowControl w:val="false"/>
              <w:tabs>
                <w:tab w:val="clear" w:pos="708"/>
                <w:tab w:val="left" w:pos="7230" w:leader="none"/>
              </w:tabs>
              <w:rPr/>
            </w:pPr>
            <w:r>
              <w:rPr>
                <w:b/>
                <w:sz w:val="24"/>
              </w:rPr>
              <w:t>ОБРАЗОВАНИЯ И НАУКИ</w:t>
            </w:r>
          </w:p>
          <w:p>
            <w:pPr>
              <w:pStyle w:val="Style22"/>
              <w:widowControl w:val="false"/>
              <w:tabs>
                <w:tab w:val="clear" w:pos="708"/>
                <w:tab w:val="left" w:pos="7230" w:leader="none"/>
              </w:tabs>
              <w:rPr>
                <w:b/>
                <w:b/>
                <w:sz w:val="24"/>
              </w:rPr>
            </w:pPr>
            <w:r>
              <w:rPr>
                <w:b/>
                <w:sz w:val="24"/>
              </w:rPr>
            </w:r>
          </w:p>
          <w:p>
            <w:pPr>
              <w:pStyle w:val="Normal"/>
              <w:widowControl w:val="false"/>
              <w:tabs>
                <w:tab w:val="clear" w:pos="708"/>
                <w:tab w:val="left" w:pos="7230" w:leader="none"/>
              </w:tabs>
              <w:jc w:val="center"/>
              <w:rPr/>
            </w:pPr>
            <w:r>
              <w:rPr>
                <w:b/>
                <w:sz w:val="24"/>
              </w:rPr>
              <w:t>(РОСОБРНАДЗОР)</w:t>
            </w:r>
          </w:p>
        </w:tc>
      </w:tr>
    </w:tbl>
    <w:p>
      <w:pPr>
        <w:pStyle w:val="Normal"/>
        <w:tabs>
          <w:tab w:val="clear" w:pos="708"/>
          <w:tab w:val="left" w:pos="7230" w:leader="none"/>
        </w:tabs>
        <w:jc w:val="both"/>
        <w:rPr>
          <w:sz w:val="28"/>
        </w:rPr>
      </w:pPr>
      <w:r>
        <w:rPr>
          <w:sz w:val="28"/>
        </w:rPr>
      </w:r>
    </w:p>
    <w:p>
      <w:pPr>
        <w:pStyle w:val="12"/>
        <w:rPr/>
      </w:pPr>
      <w:r>
        <w:rPr>
          <w:b/>
        </w:rPr>
        <w:t xml:space="preserve">П Р И К А З </w:t>
      </w:r>
    </w:p>
    <w:p>
      <w:pPr>
        <w:pStyle w:val="Normal"/>
        <w:spacing w:lineRule="atLeast" w:line="240"/>
        <w:jc w:val="center"/>
        <w:rPr>
          <w:rFonts w:ascii="JournalSans" w:hAnsi="JournalSans" w:cs="JournalSans"/>
          <w:b/>
          <w:b/>
          <w:sz w:val="16"/>
        </w:rPr>
      </w:pPr>
      <w:r>
        <w:rPr>
          <w:rFonts w:cs="JournalSans" w:ascii="JournalSans" w:hAnsi="JournalSans"/>
          <w:b/>
          <w:sz w:val="16"/>
        </w:rPr>
      </w:r>
    </w:p>
    <w:p>
      <w:pPr>
        <w:pStyle w:val="Normal"/>
        <w:tabs>
          <w:tab w:val="clear" w:pos="708"/>
          <w:tab w:val="left" w:pos="851" w:leader="none"/>
          <w:tab w:val="left" w:pos="3119" w:leader="none"/>
          <w:tab w:val="left" w:pos="7650" w:leader="none"/>
          <w:tab w:val="left" w:pos="9645" w:leader="none"/>
        </w:tabs>
        <w:spacing w:lineRule="atLeast" w:line="100"/>
        <w:rPr/>
      </w:pPr>
      <w:r>
        <w:rPr>
          <w:sz w:val="28"/>
          <w:szCs w:val="28"/>
          <w:lang w:eastAsia="ar-SA"/>
        </w:rPr>
        <w:t xml:space="preserve"> </w:t>
      </w:r>
      <w:r>
        <w:rPr>
          <w:sz w:val="28"/>
          <w:szCs w:val="28"/>
          <w:lang w:eastAsia="ar-SA"/>
        </w:rPr>
        <w:t>«</w:t>
      </w:r>
      <w:r>
        <w:rPr>
          <w:sz w:val="28"/>
          <w:szCs w:val="28"/>
          <w:u w:val="single"/>
          <w:lang w:eastAsia="ar-SA"/>
        </w:rPr>
        <w:t xml:space="preserve"> </w:t>
        <w:tab/>
      </w:r>
      <w:r>
        <w:rPr>
          <w:sz w:val="28"/>
          <w:szCs w:val="28"/>
          <w:lang w:eastAsia="ar-SA"/>
        </w:rPr>
        <w:t>»</w:t>
      </w:r>
      <w:r>
        <w:rPr>
          <w:sz w:val="28"/>
          <w:szCs w:val="28"/>
          <w:u w:val="single"/>
          <w:lang w:eastAsia="ar-SA"/>
        </w:rPr>
        <w:tab/>
      </w:r>
      <w:r>
        <w:rPr>
          <w:sz w:val="28"/>
          <w:szCs w:val="28"/>
          <w:lang w:eastAsia="ar-SA"/>
        </w:rPr>
        <w:t xml:space="preserve"> 2021 г.</w:t>
        <w:tab/>
        <w:t xml:space="preserve">№ </w:t>
      </w:r>
      <w:r>
        <w:rPr>
          <w:sz w:val="28"/>
          <w:szCs w:val="28"/>
          <w:u w:val="single"/>
          <w:lang w:eastAsia="ar-SA"/>
        </w:rPr>
        <w:t xml:space="preserve"> </w:t>
        <w:tab/>
      </w:r>
    </w:p>
    <w:p>
      <w:pPr>
        <w:pStyle w:val="Normal"/>
        <w:tabs>
          <w:tab w:val="clear" w:pos="708"/>
          <w:tab w:val="left" w:pos="1134" w:leader="none"/>
        </w:tabs>
        <w:spacing w:lineRule="atLeast" w:line="100"/>
        <w:jc w:val="center"/>
        <w:rPr>
          <w:sz w:val="16"/>
          <w:lang w:eastAsia="ar-SA"/>
        </w:rPr>
      </w:pPr>
      <w:r>
        <w:rPr>
          <w:sz w:val="16"/>
          <w:lang w:eastAsia="ar-SA"/>
        </w:rPr>
      </w:r>
    </w:p>
    <w:p>
      <w:pPr>
        <w:pStyle w:val="Normal"/>
        <w:tabs>
          <w:tab w:val="clear" w:pos="708"/>
          <w:tab w:val="left" w:pos="1276" w:leader="none"/>
        </w:tabs>
        <w:spacing w:lineRule="atLeast" w:line="100"/>
        <w:jc w:val="center"/>
        <w:rPr/>
      </w:pPr>
      <w:r>
        <w:rPr>
          <w:sz w:val="28"/>
          <w:lang w:eastAsia="ar-SA"/>
        </w:rPr>
        <w:t>Москва</w:t>
      </w:r>
    </w:p>
    <w:p>
      <w:pPr>
        <w:pStyle w:val="Normal"/>
        <w:rPr>
          <w:sz w:val="24"/>
          <w:lang w:eastAsia="ar-SA"/>
        </w:rPr>
      </w:pPr>
      <w:r>
        <w:rPr>
          <w:sz w:val="24"/>
          <w:lang w:eastAsia="ar-SA"/>
        </w:rPr>
      </w:r>
    </w:p>
    <w:p>
      <w:pPr>
        <w:pStyle w:val="Normal"/>
        <w:jc w:val="center"/>
        <w:rPr/>
      </w:pPr>
      <w:r>
        <w:rPr>
          <w:b/>
          <w:color w:val="000000"/>
          <w:sz w:val="28"/>
          <w:szCs w:val="28"/>
        </w:rPr>
        <w:t>Об особенностях проведения государственной итоговой аттестации</w:t>
      </w:r>
    </w:p>
    <w:p>
      <w:pPr>
        <w:pStyle w:val="Normal"/>
        <w:jc w:val="center"/>
        <w:rPr/>
      </w:pPr>
      <w:r>
        <w:rPr>
          <w:b/>
          <w:color w:val="000000"/>
          <w:sz w:val="28"/>
          <w:szCs w:val="28"/>
        </w:rPr>
        <w:t>по образовательным программам среднего общего образования в 2021 году</w:t>
      </w:r>
    </w:p>
    <w:p>
      <w:pPr>
        <w:pStyle w:val="Normal"/>
        <w:jc w:val="center"/>
        <w:rPr>
          <w:b/>
          <w:b/>
          <w:color w:val="000000"/>
          <w:sz w:val="22"/>
          <w:szCs w:val="28"/>
        </w:rPr>
      </w:pPr>
      <w:r>
        <w:rPr>
          <w:b/>
          <w:color w:val="000000"/>
          <w:sz w:val="22"/>
          <w:szCs w:val="28"/>
        </w:rPr>
      </w:r>
    </w:p>
    <w:p>
      <w:pPr>
        <w:pStyle w:val="Normal"/>
        <w:widowControl w:val="false"/>
        <w:spacing w:lineRule="auto" w:line="276"/>
        <w:ind w:firstLine="709"/>
        <w:jc w:val="both"/>
        <w:rPr/>
      </w:pPr>
      <w:r>
        <w:rPr>
          <w:rFonts w:eastAsia="Calibri"/>
          <w:sz w:val="28"/>
          <w:szCs w:val="28"/>
        </w:rPr>
        <w:t xml:space="preserve">Во исполнение пункта 2 постановления Правительства Российской Федерации от ________ 2021 г. № ____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w:t>
        <w:br/>
        <w:t>ст. 7598; 2019, № 30, ст. 4134), пунктом 1 и</w:t>
      </w:r>
      <w:r>
        <w:rPr>
          <w:rFonts w:eastAsia="Calibri"/>
          <w:sz w:val="24"/>
          <w:szCs w:val="24"/>
        </w:rPr>
        <w:t xml:space="preserve"> </w:t>
      </w:r>
      <w:r>
        <w:rPr>
          <w:rFonts w:eastAsia="Calibri"/>
          <w:sz w:val="28"/>
          <w:szCs w:val="28"/>
        </w:rPr>
        <w:t xml:space="preserve">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w:t>
        <w:br/>
        <w:t xml:space="preserve">№ 51, ст. 7631), пунктом 1 и подпунктами 5.2.7 и 5.2.8 пункта 5 Положения </w:t>
        <w:br/>
        <w:t xml:space="preserve">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w:t>
        <w:br/>
        <w:t xml:space="preserve">№ 51, ст. 7643), </w:t>
      </w:r>
      <w:r>
        <w:rPr>
          <w:rFonts w:eastAsia="Calibri"/>
          <w:bCs/>
          <w:sz w:val="28"/>
          <w:szCs w:val="28"/>
        </w:rPr>
        <w:t>п р и к а з ы в а е м:</w:t>
      </w:r>
    </w:p>
    <w:p>
      <w:pPr>
        <w:pStyle w:val="Normal"/>
        <w:widowControl w:val="false"/>
        <w:tabs>
          <w:tab w:val="clear" w:pos="708"/>
          <w:tab w:val="left" w:pos="1134" w:leader="none"/>
        </w:tabs>
        <w:spacing w:lineRule="auto" w:line="276"/>
        <w:ind w:firstLine="709"/>
        <w:jc w:val="both"/>
        <w:rPr/>
      </w:pPr>
      <w:r>
        <w:rPr>
          <w:rFonts w:eastAsia="Calibri"/>
          <w:color w:val="000000"/>
          <w:sz w:val="28"/>
          <w:szCs w:val="28"/>
        </w:rPr>
        <w:t xml:space="preserve">Утвердить прилагаемые особенности проведения государственной итоговой аттестации по образовательным программам среднего общего образования </w:t>
        <w:br/>
        <w:t xml:space="preserve">в 2021 году. </w:t>
      </w:r>
    </w:p>
    <w:p>
      <w:pPr>
        <w:pStyle w:val="Normal"/>
        <w:widowControl w:val="false"/>
        <w:spacing w:lineRule="auto" w:line="276"/>
        <w:ind w:left="709" w:hanging="0"/>
        <w:jc w:val="both"/>
        <w:rPr>
          <w:rFonts w:eastAsia="Calibri"/>
          <w:sz w:val="24"/>
          <w:szCs w:val="24"/>
        </w:rPr>
      </w:pPr>
      <w:r>
        <w:rPr>
          <w:rFonts w:eastAsia="Calibri"/>
          <w:sz w:val="24"/>
          <w:szCs w:val="24"/>
        </w:rPr>
      </w:r>
    </w:p>
    <w:p>
      <w:pPr>
        <w:pStyle w:val="Normal"/>
        <w:widowControl w:val="false"/>
        <w:spacing w:lineRule="auto" w:line="276"/>
        <w:ind w:left="709" w:hanging="0"/>
        <w:jc w:val="both"/>
        <w:rPr>
          <w:rFonts w:eastAsia="Calibri"/>
          <w:sz w:val="24"/>
          <w:szCs w:val="24"/>
        </w:rPr>
      </w:pPr>
      <w:r>
        <w:rPr>
          <w:rFonts w:eastAsia="Calibri"/>
          <w:sz w:val="24"/>
          <w:szCs w:val="24"/>
        </w:rPr>
      </w:r>
    </w:p>
    <w:tbl>
      <w:tblPr>
        <w:tblW w:w="1031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19"/>
        <w:gridCol w:w="1842"/>
        <w:gridCol w:w="4253"/>
      </w:tblGrid>
      <w:tr>
        <w:trPr/>
        <w:tc>
          <w:tcPr>
            <w:tcW w:w="4219" w:type="dxa"/>
            <w:tcBorders/>
            <w:shd w:color="auto" w:fill="auto" w:val="clear"/>
          </w:tcPr>
          <w:p>
            <w:pPr>
              <w:pStyle w:val="Normal"/>
              <w:widowControl w:val="false"/>
              <w:tabs>
                <w:tab w:val="clear" w:pos="708"/>
                <w:tab w:val="left" w:pos="7230" w:leader="none"/>
              </w:tabs>
              <w:rPr/>
            </w:pPr>
            <w:r>
              <w:rPr>
                <w:sz w:val="28"/>
                <w:szCs w:val="28"/>
              </w:rPr>
              <w:t>Министр просвещения</w:t>
            </w:r>
          </w:p>
          <w:p>
            <w:pPr>
              <w:pStyle w:val="Normal"/>
              <w:widowControl w:val="false"/>
              <w:tabs>
                <w:tab w:val="clear" w:pos="708"/>
                <w:tab w:val="left" w:pos="7230" w:leader="none"/>
              </w:tabs>
              <w:rPr/>
            </w:pPr>
            <w:r>
              <w:rPr>
                <w:sz w:val="28"/>
                <w:szCs w:val="28"/>
              </w:rPr>
              <w:t>Российской Федерации</w:t>
            </w:r>
          </w:p>
          <w:p>
            <w:pPr>
              <w:pStyle w:val="Normal"/>
              <w:widowControl w:val="false"/>
              <w:tabs>
                <w:tab w:val="clear" w:pos="708"/>
                <w:tab w:val="left" w:pos="7230" w:leader="none"/>
              </w:tabs>
              <w:rPr/>
            </w:pPr>
            <w:r>
              <w:rPr/>
            </w:r>
          </w:p>
          <w:p>
            <w:pPr>
              <w:pStyle w:val="Normal"/>
              <w:widowControl w:val="false"/>
              <w:tabs>
                <w:tab w:val="clear" w:pos="708"/>
                <w:tab w:val="left" w:pos="7230" w:leader="none"/>
              </w:tabs>
              <w:jc w:val="center"/>
              <w:rPr>
                <w:color w:val="000000"/>
                <w:sz w:val="28"/>
                <w:szCs w:val="28"/>
              </w:rPr>
            </w:pPr>
            <w:r>
              <w:rPr/>
            </w:r>
          </w:p>
          <w:p>
            <w:pPr>
              <w:pStyle w:val="Normal"/>
              <w:widowControl w:val="false"/>
              <w:tabs>
                <w:tab w:val="clear" w:pos="708"/>
                <w:tab w:val="left" w:pos="7230" w:leader="none"/>
              </w:tabs>
              <w:rPr>
                <w:sz w:val="28"/>
                <w:szCs w:val="28"/>
              </w:rPr>
            </w:pPr>
            <w:r>
              <w:rPr>
                <w:sz w:val="28"/>
                <w:szCs w:val="28"/>
              </w:rPr>
            </w:r>
          </w:p>
          <w:p>
            <w:pPr>
              <w:pStyle w:val="Normal"/>
              <w:widowControl w:val="false"/>
              <w:tabs>
                <w:tab w:val="clear" w:pos="708"/>
                <w:tab w:val="left" w:pos="7230" w:leader="none"/>
              </w:tabs>
              <w:jc w:val="right"/>
              <w:rPr/>
            </w:pPr>
            <w:r>
              <w:rPr>
                <w:sz w:val="28"/>
                <w:szCs w:val="28"/>
              </w:rPr>
              <w:t>С.С. Кравцов</w:t>
            </w:r>
          </w:p>
        </w:tc>
        <w:tc>
          <w:tcPr>
            <w:tcW w:w="1842" w:type="dxa"/>
            <w:tcBorders/>
            <w:shd w:color="auto" w:fill="auto" w:val="clear"/>
          </w:tcPr>
          <w:p>
            <w:pPr>
              <w:pStyle w:val="Normal"/>
              <w:widowControl w:val="false"/>
              <w:tabs>
                <w:tab w:val="clear" w:pos="708"/>
                <w:tab w:val="left" w:pos="7230" w:leader="none"/>
              </w:tabs>
              <w:snapToGrid w:val="false"/>
              <w:jc w:val="center"/>
              <w:rPr>
                <w:rFonts w:eastAsia="Calibri"/>
                <w:sz w:val="28"/>
                <w:szCs w:val="28"/>
              </w:rPr>
            </w:pPr>
            <w:r>
              <w:rPr>
                <w:rFonts w:eastAsia="Calibri"/>
                <w:sz w:val="28"/>
                <w:szCs w:val="28"/>
              </w:rPr>
            </w:r>
          </w:p>
        </w:tc>
        <w:tc>
          <w:tcPr>
            <w:tcW w:w="4253" w:type="dxa"/>
            <w:tcBorders/>
            <w:shd w:color="auto" w:fill="auto" w:val="clear"/>
          </w:tcPr>
          <w:p>
            <w:pPr>
              <w:pStyle w:val="Normal"/>
              <w:widowControl w:val="false"/>
              <w:tabs>
                <w:tab w:val="clear" w:pos="708"/>
                <w:tab w:val="left" w:pos="7230" w:leader="none"/>
              </w:tabs>
              <w:rPr/>
            </w:pPr>
            <w:r>
              <w:rPr>
                <w:rFonts w:eastAsia="Calibri"/>
                <w:sz w:val="28"/>
                <w:szCs w:val="28"/>
              </w:rPr>
              <w:t xml:space="preserve">Руководитель </w:t>
            </w:r>
            <w:r>
              <w:rPr>
                <w:rFonts w:eastAsia="Calibri"/>
                <w:spacing w:val="-2"/>
                <w:sz w:val="28"/>
                <w:szCs w:val="28"/>
              </w:rPr>
              <w:t>Федеральной службы по надзору</w:t>
            </w:r>
            <w:r>
              <w:rPr>
                <w:rFonts w:eastAsia="Calibri"/>
                <w:sz w:val="28"/>
                <w:szCs w:val="28"/>
              </w:rPr>
              <w:br/>
              <w:t>в сфере образования и науки</w:t>
            </w:r>
          </w:p>
          <w:p>
            <w:pPr>
              <w:pStyle w:val="Normal"/>
              <w:widowControl w:val="false"/>
              <w:tabs>
                <w:tab w:val="clear" w:pos="708"/>
                <w:tab w:val="left" w:pos="7230" w:leader="none"/>
              </w:tabs>
              <w:rPr>
                <w:rFonts w:eastAsia="Calibri"/>
                <w:color w:val="000000"/>
                <w:sz w:val="28"/>
                <w:szCs w:val="28"/>
              </w:rPr>
            </w:pPr>
            <w:r>
              <w:rPr>
                <w:rFonts w:eastAsia="Calibri"/>
                <w:color w:val="000000"/>
                <w:sz w:val="28"/>
                <w:szCs w:val="28"/>
              </w:rPr>
            </w:r>
          </w:p>
          <w:p>
            <w:pPr>
              <w:pStyle w:val="Normal"/>
              <w:widowControl w:val="false"/>
              <w:tabs>
                <w:tab w:val="clear" w:pos="708"/>
                <w:tab w:val="left" w:pos="7230" w:leader="none"/>
              </w:tabs>
              <w:jc w:val="right"/>
              <w:rPr/>
            </w:pPr>
            <w:r>
              <w:rPr>
                <w:rFonts w:eastAsia="Calibri"/>
                <w:color w:val="000000"/>
                <w:sz w:val="28"/>
                <w:szCs w:val="28"/>
              </w:rPr>
              <w:t>А.А. Музаев</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pacing w:lineRule="auto" w:line="276"/>
        <w:ind w:left="5387" w:hanging="0"/>
        <w:jc w:val="right"/>
        <w:rPr>
          <w:sz w:val="28"/>
          <w:szCs w:val="28"/>
        </w:rPr>
      </w:pPr>
      <w:r>
        <w:rPr>
          <w:sz w:val="28"/>
          <w:szCs w:val="28"/>
        </w:rPr>
        <w:t>Приложение</w:t>
      </w:r>
    </w:p>
    <w:p>
      <w:pPr>
        <w:pStyle w:val="Normal"/>
        <w:widowControl w:val="false"/>
        <w:spacing w:lineRule="auto" w:line="276"/>
        <w:ind w:left="5387" w:hanging="0"/>
        <w:jc w:val="center"/>
        <w:rPr>
          <w:sz w:val="28"/>
          <w:szCs w:val="28"/>
        </w:rPr>
      </w:pPr>
      <w:r>
        <w:rPr>
          <w:sz w:val="28"/>
          <w:szCs w:val="28"/>
        </w:rPr>
      </w:r>
    </w:p>
    <w:p>
      <w:pPr>
        <w:pStyle w:val="Normal"/>
        <w:widowControl w:val="false"/>
        <w:ind w:left="5387" w:hanging="0"/>
        <w:jc w:val="center"/>
        <w:rPr>
          <w:rFonts w:eastAsia="Calibri"/>
          <w:sz w:val="24"/>
          <w:szCs w:val="24"/>
        </w:rPr>
      </w:pPr>
      <w:r>
        <w:rPr>
          <w:sz w:val="28"/>
          <w:szCs w:val="28"/>
        </w:rPr>
        <w:t>УТВЕРЖДЕНЫ</w:t>
      </w:r>
    </w:p>
    <w:p>
      <w:pPr>
        <w:pStyle w:val="Normal"/>
        <w:widowControl w:val="false"/>
        <w:ind w:left="5387" w:hanging="0"/>
        <w:jc w:val="center"/>
        <w:rPr>
          <w:rFonts w:eastAsia="Calibri"/>
          <w:sz w:val="24"/>
          <w:szCs w:val="24"/>
        </w:rPr>
      </w:pPr>
      <w:r>
        <w:rPr>
          <w:sz w:val="28"/>
          <w:szCs w:val="28"/>
        </w:rPr>
        <w:t>приказом Министерства просвещения</w:t>
      </w:r>
    </w:p>
    <w:p>
      <w:pPr>
        <w:pStyle w:val="Normal"/>
        <w:widowControl w:val="false"/>
        <w:ind w:left="5387" w:hanging="0"/>
        <w:jc w:val="center"/>
        <w:rPr>
          <w:rFonts w:eastAsia="Calibri"/>
          <w:sz w:val="24"/>
          <w:szCs w:val="24"/>
        </w:rPr>
      </w:pPr>
      <w:r>
        <w:rPr>
          <w:sz w:val="28"/>
          <w:szCs w:val="28"/>
        </w:rPr>
        <w:t>Российской Федерации и Федеральной службы по надзору в сфере образования и науки</w:t>
        <w:br/>
        <w:t>от «___» ____________ 2021 г. № _____</w:t>
      </w:r>
    </w:p>
    <w:p>
      <w:pPr>
        <w:pStyle w:val="Normal"/>
        <w:ind w:firstLine="709"/>
        <w:jc w:val="both"/>
        <w:rPr>
          <w:color w:val="000000"/>
          <w:sz w:val="28"/>
          <w:szCs w:val="28"/>
        </w:rPr>
      </w:pPr>
      <w:r>
        <w:rPr>
          <w:color w:val="000000"/>
          <w:sz w:val="28"/>
          <w:szCs w:val="28"/>
        </w:rPr>
      </w:r>
    </w:p>
    <w:p>
      <w:pPr>
        <w:pStyle w:val="Normal"/>
        <w:ind w:firstLine="709"/>
        <w:jc w:val="both"/>
        <w:rPr>
          <w:rFonts w:ascii="Arial" w:hAnsi="Arial" w:cs="Arial"/>
          <w:b/>
          <w:b/>
          <w:bCs/>
        </w:rPr>
      </w:pPr>
      <w:r>
        <w:rPr>
          <w:color w:val="000000"/>
          <w:sz w:val="28"/>
          <w:szCs w:val="28"/>
        </w:rPr>
        <w:t xml:space="preserve"> </w:t>
      </w:r>
    </w:p>
    <w:p>
      <w:pPr>
        <w:pStyle w:val="Normal"/>
        <w:jc w:val="center"/>
        <w:rPr>
          <w:rFonts w:eastAsia="Calibri"/>
          <w:sz w:val="24"/>
          <w:szCs w:val="24"/>
        </w:rPr>
      </w:pPr>
      <w:r>
        <w:rPr>
          <w:b/>
          <w:color w:val="000000"/>
          <w:sz w:val="28"/>
          <w:szCs w:val="28"/>
          <w:lang w:eastAsia="ru-RU"/>
        </w:rPr>
        <w:t xml:space="preserve">Особенности проведения государственной итоговой аттестации </w:t>
      </w:r>
    </w:p>
    <w:p>
      <w:pPr>
        <w:pStyle w:val="Normal"/>
        <w:jc w:val="center"/>
        <w:rPr>
          <w:rFonts w:eastAsia="Calibri"/>
          <w:sz w:val="24"/>
          <w:szCs w:val="24"/>
        </w:rPr>
      </w:pPr>
      <w:r>
        <w:rPr>
          <w:b/>
          <w:color w:val="000000"/>
          <w:sz w:val="28"/>
          <w:szCs w:val="28"/>
          <w:lang w:eastAsia="ru-RU"/>
        </w:rPr>
        <w:t>по образовательным программам среднего общего образования в 2021 году</w:t>
      </w:r>
    </w:p>
    <w:p>
      <w:pPr>
        <w:pStyle w:val="Normal"/>
        <w:spacing w:lineRule="auto" w:line="276"/>
        <w:ind w:firstLine="709"/>
        <w:jc w:val="both"/>
        <w:rPr>
          <w:color w:val="000000"/>
          <w:sz w:val="28"/>
          <w:szCs w:val="28"/>
          <w:lang w:eastAsia="ru-RU"/>
        </w:rPr>
      </w:pPr>
      <w:r>
        <w:rPr>
          <w:color w:val="000000"/>
          <w:sz w:val="28"/>
          <w:szCs w:val="28"/>
          <w:lang w:eastAsia="ru-RU"/>
        </w:rPr>
      </w:r>
    </w:p>
    <w:p>
      <w:pPr>
        <w:pStyle w:val="Normal"/>
        <w:widowControl w:val="false"/>
        <w:numPr>
          <w:ilvl w:val="0"/>
          <w:numId w:val="1"/>
        </w:numPr>
        <w:tabs>
          <w:tab w:val="clear" w:pos="708"/>
          <w:tab w:val="left" w:pos="0" w:leader="none"/>
        </w:tabs>
        <w:suppressAutoHyphens w:val="false"/>
        <w:spacing w:lineRule="auto" w:line="360"/>
        <w:ind w:left="0" w:firstLine="709"/>
        <w:jc w:val="both"/>
        <w:rPr>
          <w:rFonts w:eastAsia="Calibri"/>
          <w:sz w:val="24"/>
          <w:szCs w:val="24"/>
        </w:rPr>
      </w:pPr>
      <w:r>
        <w:rPr>
          <w:sz w:val="28"/>
          <w:szCs w:val="28"/>
        </w:rPr>
        <w:t xml:space="preserve">Порядок проведения государственной итоговой аттестации </w:t>
        <w:br/>
        <w:t xml:space="preserve">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w:t>
        <w:br/>
        <w:t xml:space="preserve">10 декабря 2018 г., регистрационный № </w:t>
      </w:r>
      <w:r>
        <w:rPr>
          <w:rFonts w:eastAsia="Calibri"/>
          <w:color w:val="333333"/>
          <w:sz w:val="28"/>
          <w:szCs w:val="28"/>
          <w:shd w:fill="FFFFFF" w:val="clear"/>
        </w:rPr>
        <w:t>52952</w:t>
      </w:r>
      <w:r>
        <w:rPr>
          <w:sz w:val="28"/>
          <w:szCs w:val="28"/>
        </w:rPr>
        <w:t xml:space="preserve">) (далее – Порядок), </w:t>
        <w:br/>
        <w:t>не применяется в части:</w:t>
      </w:r>
    </w:p>
    <w:p>
      <w:pPr>
        <w:pStyle w:val="Normal"/>
        <w:tabs>
          <w:tab w:val="clear" w:pos="708"/>
          <w:tab w:val="left" w:pos="0" w:leader="none"/>
        </w:tabs>
        <w:suppressAutoHyphens w:val="false"/>
        <w:spacing w:lineRule="auto" w:line="360"/>
        <w:ind w:firstLine="709"/>
        <w:jc w:val="both"/>
        <w:rPr>
          <w:sz w:val="28"/>
          <w:szCs w:val="28"/>
        </w:rPr>
      </w:pPr>
      <w:r>
        <w:rPr>
          <w:sz w:val="28"/>
          <w:szCs w:val="28"/>
        </w:rPr>
        <w:t>форм проведения государственной итоговой аттестации по образовательным программам среднего общего образования (далее – ГИА);</w:t>
      </w:r>
    </w:p>
    <w:p>
      <w:pPr>
        <w:pStyle w:val="Normal"/>
        <w:tabs>
          <w:tab w:val="clear" w:pos="708"/>
          <w:tab w:val="left" w:pos="0" w:leader="none"/>
        </w:tabs>
        <w:suppressAutoHyphens w:val="false"/>
        <w:spacing w:lineRule="auto" w:line="360"/>
        <w:ind w:firstLine="709"/>
        <w:jc w:val="both"/>
        <w:rPr>
          <w:rFonts w:eastAsia="Calibri"/>
          <w:sz w:val="24"/>
          <w:szCs w:val="24"/>
        </w:rPr>
      </w:pPr>
      <w:r>
        <w:rPr>
          <w:sz w:val="28"/>
          <w:szCs w:val="28"/>
        </w:rPr>
        <w:t>количества и перечня учебных предметов, по которым проводится ГИА;</w:t>
      </w:r>
    </w:p>
    <w:p>
      <w:pPr>
        <w:pStyle w:val="Normal"/>
        <w:tabs>
          <w:tab w:val="clear" w:pos="708"/>
          <w:tab w:val="left" w:pos="0" w:leader="none"/>
        </w:tabs>
        <w:suppressAutoHyphens w:val="false"/>
        <w:spacing w:lineRule="auto" w:line="360"/>
        <w:ind w:firstLine="709"/>
        <w:jc w:val="both"/>
        <w:rPr>
          <w:rFonts w:eastAsia="Calibri"/>
          <w:sz w:val="24"/>
          <w:szCs w:val="24"/>
        </w:rPr>
      </w:pPr>
      <w:r>
        <w:rPr>
          <w:sz w:val="28"/>
          <w:szCs w:val="28"/>
        </w:rPr>
        <w:t>установления периодов проведения ГИА;</w:t>
      </w:r>
    </w:p>
    <w:p>
      <w:pPr>
        <w:pStyle w:val="Normal"/>
        <w:tabs>
          <w:tab w:val="clear" w:pos="708"/>
          <w:tab w:val="left" w:pos="0" w:leader="none"/>
        </w:tabs>
        <w:suppressAutoHyphens w:val="false"/>
        <w:spacing w:lineRule="auto" w:line="360"/>
        <w:ind w:firstLine="709"/>
        <w:jc w:val="both"/>
        <w:rPr>
          <w:rFonts w:eastAsia="Calibri"/>
          <w:sz w:val="24"/>
          <w:szCs w:val="24"/>
        </w:rPr>
      </w:pPr>
      <w:r>
        <w:rPr>
          <w:rFonts w:eastAsia="Calibri"/>
          <w:sz w:val="28"/>
          <w:szCs w:val="28"/>
        </w:rPr>
        <w:t>условий повторного допуска участников экзаменов к сдаче экзаменов;</w:t>
      </w:r>
    </w:p>
    <w:p>
      <w:pPr>
        <w:pStyle w:val="Normal"/>
        <w:tabs>
          <w:tab w:val="clear" w:pos="708"/>
          <w:tab w:val="left" w:pos="0" w:leader="none"/>
        </w:tabs>
        <w:suppressAutoHyphens w:val="false"/>
        <w:spacing w:lineRule="auto" w:line="360"/>
        <w:ind w:firstLine="709"/>
        <w:jc w:val="both"/>
        <w:rPr>
          <w:rFonts w:eastAsia="Calibri"/>
          <w:sz w:val="24"/>
          <w:szCs w:val="24"/>
        </w:rPr>
      </w:pPr>
      <w:r>
        <w:rPr>
          <w:sz w:val="28"/>
          <w:szCs w:val="28"/>
        </w:rPr>
        <w:t xml:space="preserve">требований к местам расположения пунктов проведения экзаменов </w:t>
        <w:br/>
        <w:t>(далее – ППЭ), их количеству и распределению между ними участников экзаменов;</w:t>
      </w:r>
    </w:p>
    <w:p>
      <w:pPr>
        <w:pStyle w:val="Normal"/>
        <w:tabs>
          <w:tab w:val="clear" w:pos="708"/>
          <w:tab w:val="left" w:pos="0" w:leader="none"/>
        </w:tabs>
        <w:suppressAutoHyphens w:val="false"/>
        <w:spacing w:lineRule="auto" w:line="360"/>
        <w:ind w:firstLine="709"/>
        <w:jc w:val="both"/>
        <w:rPr>
          <w:rFonts w:eastAsia="Calibri"/>
          <w:sz w:val="24"/>
          <w:szCs w:val="24"/>
        </w:rPr>
      </w:pPr>
      <w:r>
        <w:rPr>
          <w:sz w:val="28"/>
          <w:szCs w:val="28"/>
        </w:rPr>
        <w:t>требований к распределению организаторов ППЭ в аудиториях проведения экзаменов;</w:t>
      </w:r>
    </w:p>
    <w:p>
      <w:pPr>
        <w:pStyle w:val="Normal"/>
        <w:tabs>
          <w:tab w:val="clear" w:pos="708"/>
          <w:tab w:val="left" w:pos="0" w:leader="none"/>
        </w:tabs>
        <w:suppressAutoHyphens w:val="false"/>
        <w:spacing w:lineRule="auto" w:line="360"/>
        <w:ind w:firstLine="709"/>
        <w:jc w:val="both"/>
        <w:rPr>
          <w:rFonts w:eastAsia="Calibri"/>
          <w:sz w:val="24"/>
          <w:szCs w:val="24"/>
        </w:rPr>
      </w:pPr>
      <w:r>
        <w:rPr>
          <w:sz w:val="28"/>
          <w:szCs w:val="28"/>
        </w:rPr>
        <w:t xml:space="preserve">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 </w:t>
      </w:r>
    </w:p>
    <w:p>
      <w:pPr>
        <w:pStyle w:val="Normal"/>
        <w:suppressAutoHyphens w:val="false"/>
        <w:spacing w:lineRule="auto" w:line="360"/>
        <w:ind w:firstLine="709"/>
        <w:jc w:val="both"/>
        <w:rPr>
          <w:rFonts w:eastAsia="Calibri"/>
          <w:sz w:val="24"/>
          <w:szCs w:val="24"/>
        </w:rPr>
      </w:pPr>
      <w:r>
        <w:rPr>
          <w:sz w:val="28"/>
          <w:szCs w:val="28"/>
        </w:rPr>
        <w:t>2. Г</w:t>
      </w:r>
      <w:r>
        <w:rPr>
          <w:color w:val="000000"/>
          <w:sz w:val="28"/>
          <w:szCs w:val="28"/>
          <w:shd w:fill="FFFFFF" w:val="clear"/>
          <w:lang w:eastAsia="ru-RU"/>
        </w:rPr>
        <w:t xml:space="preserve">ИА  проводится в форме ГВЭ по русскому языку и математике </w:t>
        <w:br/>
        <w:t xml:space="preserve">(далее – обязательные учебные предметы ГВЭ) для лиц, </w:t>
        <w:br/>
        <w:t xml:space="preserve">не планирующих поступление на обучение по программам бакалавриата </w:t>
        <w:br/>
        <w:t xml:space="preserve">и программам специалитета в организации, осуществляющие образовательную деятельность по образовательным программам высшего образования </w:t>
        <w:br/>
        <w:t>(далее соответственно – образовательные организации высшего образования, участники ГИА в форме ГВЭ), из числа: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br/>
        <w:t>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своей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w:t>
      </w:r>
      <w:r>
        <w:rPr>
          <w:rFonts w:eastAsia="Calibri"/>
          <w:sz w:val="24"/>
          <w:szCs w:val="24"/>
        </w:rPr>
        <w:t xml:space="preserve"> </w:t>
      </w:r>
      <w:r>
        <w:rPr>
          <w:color w:val="000000"/>
          <w:sz w:val="28"/>
          <w:szCs w:val="28"/>
          <w:shd w:fill="FFFFFF" w:val="clear"/>
          <w:lang w:eastAsia="ru-RU"/>
        </w:rPr>
        <w:t>подавших</w:t>
      </w:r>
      <w:r>
        <w:rPr>
          <w:rFonts w:eastAsia="Calibri"/>
          <w:sz w:val="24"/>
          <w:szCs w:val="24"/>
        </w:rPr>
        <w:t xml:space="preserve"> </w:t>
      </w:r>
      <w:r>
        <w:rPr>
          <w:color w:val="000000"/>
          <w:sz w:val="28"/>
          <w:szCs w:val="28"/>
          <w:shd w:fill="FFFFFF" w:val="clear"/>
          <w:lang w:eastAsia="ru-RU"/>
        </w:rPr>
        <w:t xml:space="preserve">заявления об участии </w:t>
        <w:br/>
        <w:t xml:space="preserve">в ГИА в установленные пунктами 11 и12 Порядка сроки и допущенных в 2021 году </w:t>
        <w:br/>
        <w:t xml:space="preserve">к ГИА в порядке, установленном абзацем первым пункта 10 Порядка </w:t>
        <w:br/>
        <w:t>(далее – обучающиеся);</w:t>
      </w:r>
    </w:p>
    <w:p>
      <w:pPr>
        <w:pStyle w:val="Normal"/>
        <w:suppressAutoHyphens w:val="false"/>
        <w:spacing w:lineRule="auto" w:line="360"/>
        <w:ind w:firstLine="709"/>
        <w:jc w:val="both"/>
        <w:rPr>
          <w:rFonts w:eastAsia="Calibri"/>
          <w:sz w:val="24"/>
          <w:szCs w:val="24"/>
        </w:rPr>
      </w:pPr>
      <w:r>
        <w:rPr>
          <w:rFonts w:eastAsia="Calibri"/>
          <w:sz w:val="28"/>
          <w:szCs w:val="28"/>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и12 Порядка сроки и допущенных в 2021 году к ГИА</w:t>
      </w:r>
      <w:r>
        <w:rPr>
          <w:rFonts w:eastAsia="Calibri"/>
          <w:sz w:val="24"/>
          <w:szCs w:val="24"/>
        </w:rPr>
        <w:t xml:space="preserve"> </w:t>
      </w:r>
      <w:r>
        <w:rPr>
          <w:rFonts w:eastAsia="Calibri"/>
          <w:sz w:val="28"/>
          <w:szCs w:val="28"/>
        </w:rPr>
        <w:t>в порядке, установленном абзацем первым пункта 10 Порядка;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лиц, осваивающих образовательные программы среднего общего образования в форме самообразования или семейного образования, либо лиц, обучающихся </w:t>
        <w:br/>
        <w:t xml:space="preserve">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 деятельность </w:t>
        <w:br/>
        <w:t>по имеющим государственную аккредитацию образовательным программам среднего общего образования,</w:t>
      </w:r>
      <w:r>
        <w:rPr>
          <w:rFonts w:eastAsia="Calibri"/>
          <w:sz w:val="28"/>
          <w:szCs w:val="28"/>
        </w:rPr>
        <w:t xml:space="preserve"> подавших заявления об участии </w:t>
        <w:br/>
        <w:t xml:space="preserve">в ГИА в установленные пунктами 11 и12 Порядка сроки и допущенных в 2021 году </w:t>
        <w:br/>
        <w:t>к ГИА в порядке, установленном абзацем вторым пункта 10 Порядка</w:t>
      </w:r>
      <w:r>
        <w:rPr>
          <w:color w:val="000000"/>
          <w:sz w:val="28"/>
          <w:szCs w:val="28"/>
          <w:shd w:fill="FFFFFF" w:val="clear"/>
          <w:lang w:eastAsia="ru-RU"/>
        </w:rPr>
        <w:t>;</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лиц, допущенных к ГИА в предыдущие учебные годы, но не прошедших </w:t>
        <w:br/>
        <w:t xml:space="preserve">ГИА или получивших на ГИА неудовлетворительные результаты </w:t>
        <w:br/>
        <w:t xml:space="preserve">по соответствующим учебным предметам в предыдущие учебные годы, восстановленных в образовательные организации на срок, необходимый </w:t>
        <w:br/>
        <w:t xml:space="preserve">для прохождения ГИА в 2021 году, и подавших заявления об участии </w:t>
        <w:br/>
        <w:t xml:space="preserve">в ГИА в установленные пунктами 11 и 12 Порядка сроки. </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3.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w:t>
        <w:br/>
        <w:t xml:space="preserve">по выбору указанных участников ГИА. </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с ограниченными возможностями здоровья, участники </w:t>
        <w:br/>
        <w:t xml:space="preserve">ГИА – дети-инвалиды и инвалиды вправе принять участие в ЕГЭ по учебным предметам, перечисленным в пункте 6 настоящих Особенностей, которые они сдают </w:t>
        <w:br/>
        <w:t xml:space="preserve">по своему выбору для предоставления результатов </w:t>
        <w:br/>
        <w:t xml:space="preserve">ЕГЭ по соответствующим учебным предметам при приеме на обучение </w:t>
        <w:br/>
        <w:t>по программам бакалавриата и программам специалитета в образовательные организации высшего образования.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4. 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подпунктом «в» пункта 7 Порядка, </w:t>
        <w:br/>
        <w:t>в 2021 году не проводятся.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5. Лица, планирующие поступление на обучение по программам бакалавриата и программам специалитета в образовательные организации высшего образования, из числа лиц, перечисленных в абзацах втором-четвертом пункта 2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Результаты ЕГЭ по русскому языку, полученные участниками ГИА в форме ЕГЭ, а также лицами, указанными в пункте 3 настоящих Особенностей, могут быть использованы ими</w:t>
      </w:r>
      <w:r>
        <w:rPr>
          <w:rFonts w:eastAsia="Calibri"/>
          <w:sz w:val="24"/>
          <w:szCs w:val="24"/>
        </w:rPr>
        <w:t xml:space="preserve"> </w:t>
      </w:r>
      <w:r>
        <w:rPr>
          <w:color w:val="000000"/>
          <w:sz w:val="28"/>
          <w:szCs w:val="28"/>
          <w:shd w:fill="FFFFFF" w:val="clear"/>
          <w:lang w:eastAsia="ru-RU"/>
        </w:rPr>
        <w:t xml:space="preserve">для предоставления при приеме </w:t>
        <w:br/>
        <w:t>на обучение по программам бакалавриата и программам специалитета в образовательные организации высшего образования.</w:t>
      </w:r>
    </w:p>
    <w:p>
      <w:pPr>
        <w:pStyle w:val="Normal"/>
        <w:suppressAutoHyphens w:val="false"/>
        <w:spacing w:lineRule="auto" w:line="360"/>
        <w:ind w:firstLine="709"/>
        <w:jc w:val="both"/>
        <w:rPr>
          <w:color w:val="000000"/>
          <w:sz w:val="28"/>
          <w:szCs w:val="28"/>
          <w:shd w:fill="FFFFFF" w:val="clear"/>
          <w:lang w:eastAsia="ru-RU"/>
        </w:rPr>
      </w:pPr>
      <w:r>
        <w:rPr>
          <w:color w:val="000000"/>
          <w:sz w:val="28"/>
          <w:szCs w:val="28"/>
          <w:shd w:fill="FFFFFF" w:val="clear"/>
          <w:lang w:eastAsia="ru-RU"/>
        </w:rPr>
        <w:t>6. Участники ГИА в форме ГВЭ в 2021 году в ЕГЭ не участвуют.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7. Обучающиеся X классов, которые завершили в 2020/21 учебном году освоение отдельных учебных предметов учебного плана среднего общего образования, подали заявления об участии в экзаменах в установленные пунктами 11 и 12 Порядка сроки и допущены в 2021 году к экзаменам в порядке, установленном абзацем третьим пункта 10 Порядка, вправе в 2021 году принять участие в ЕГЭ по учебным предметам, указанным в пункте 5 настоящих Особенностей.</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8.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 основе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9. Участники ГИА в форме ГВЭ, участники ГИА в форме ЕГЭ, а также лица, указанные в пункте 3 настоящих Особенностей, вправе изменить форму </w:t>
        <w:br/>
        <w:t xml:space="preserve">ГИА, указанную ими в заявлениях, поданных в соответствии с пунктами </w:t>
        <w:br/>
        <w:t>11 и 12 Порядка.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В этом случае участники ГИА в форме ГВЭ, участники ГИА в форме ЕГЭ  подают в государственную экзаменационную комиссию (далее – ГЭК) заявления </w:t>
        <w:br/>
        <w:t>с указанием измененной формы ГИА</w:t>
      </w:r>
      <w:r>
        <w:rPr>
          <w:rFonts w:eastAsia="Calibri"/>
          <w:sz w:val="24"/>
          <w:szCs w:val="24"/>
        </w:rPr>
        <w:t xml:space="preserve"> и </w:t>
      </w:r>
      <w:r>
        <w:rPr>
          <w:color w:val="000000"/>
          <w:sz w:val="28"/>
          <w:szCs w:val="28"/>
          <w:shd w:fill="FFFFFF" w:val="clear"/>
          <w:lang w:eastAsia="ru-RU"/>
        </w:rPr>
        <w:t>измененного перечня учебным предметов, необходимых для прохождения ГИА. Лица, указанные в пункте 3 настоящих Особенностей, подают в ГЭК заявления</w:t>
      </w:r>
      <w:r>
        <w:rPr>
          <w:rFonts w:eastAsia="Calibri"/>
          <w:sz w:val="24"/>
          <w:szCs w:val="24"/>
        </w:rPr>
        <w:t xml:space="preserve"> </w:t>
      </w:r>
      <w:r>
        <w:rPr>
          <w:color w:val="000000"/>
          <w:sz w:val="28"/>
          <w:szCs w:val="28"/>
          <w:shd w:fill="FFFFFF" w:val="clear"/>
          <w:lang w:eastAsia="ru-RU"/>
        </w:rPr>
        <w:t>с указанием измененной формы ГИА. Указанные заявления подаются не позднее чем за две недели до даты первого экзамена основного периода.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10. Участники ГИА в форме ЕГЭ, участники ЕГЭ,</w:t>
      </w:r>
      <w:r>
        <w:rPr>
          <w:rFonts w:eastAsia="Calibri"/>
          <w:sz w:val="24"/>
          <w:szCs w:val="24"/>
        </w:rPr>
        <w:t xml:space="preserve"> </w:t>
        <w:br/>
      </w:r>
      <w:r>
        <w:rPr>
          <w:color w:val="000000"/>
          <w:sz w:val="28"/>
          <w:szCs w:val="28"/>
          <w:shd w:fill="FFFFFF" w:val="clear"/>
          <w:lang w:eastAsia="ru-RU"/>
        </w:rPr>
        <w:t xml:space="preserve">а также лица, указанные в пункте 3 настоящих Особенностей, вправе изменить (дополнить) перечень учебных предметов, а также изменить сроки участия в ЕГЭ </w:t>
        <w:br/>
        <w:t>(за исключением случая, установленного пунктом 13 настоящих Особенностей), указанные ими в заявлениях, поданных в соответствии с пунктами 11, 12, 14 и 16 Порядка.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11. По решению ГЭК подача заявлений об участии в экзаменах, указанных </w:t>
        <w:br/>
        <w:t>в пунктах 9 и 10 настоящих Особенностей, а также в абзаце 3 пункта 12 и абзаце 4 пункта 16 Порядка, организуется с использованием информационно-коммуникационных технологий при условии соблюдения требований законодательства Российской Федерации в области защиты персональных данных</w:t>
      </w:r>
      <w:r>
        <w:rPr>
          <w:rStyle w:val="Style18"/>
          <w:color w:val="000000"/>
          <w:sz w:val="28"/>
          <w:szCs w:val="28"/>
          <w:shd w:fill="FFFFFF" w:val="clear"/>
          <w:vertAlign w:val="superscript"/>
          <w:lang w:eastAsia="ru-RU"/>
        </w:rPr>
        <w:footnoteReference w:id="2"/>
      </w:r>
      <w:r>
        <w:rPr>
          <w:color w:val="000000"/>
          <w:sz w:val="28"/>
          <w:szCs w:val="28"/>
          <w:shd w:fill="FFFFFF" w:val="clear"/>
          <w:lang w:eastAsia="ru-RU"/>
        </w:rPr>
        <w:t>.</w:t>
      </w:r>
    </w:p>
    <w:p>
      <w:pPr>
        <w:pStyle w:val="Normal"/>
        <w:suppressAutoHyphens w:val="false"/>
        <w:spacing w:lineRule="auto" w:line="360"/>
        <w:ind w:firstLine="709"/>
        <w:jc w:val="both"/>
        <w:rPr>
          <w:rFonts w:eastAsia="Calibri"/>
          <w:sz w:val="28"/>
          <w:szCs w:val="28"/>
        </w:rPr>
      </w:pPr>
      <w:r>
        <w:rPr>
          <w:color w:val="000000"/>
          <w:sz w:val="28"/>
          <w:szCs w:val="28"/>
          <w:shd w:fill="FFFFFF" w:val="clear"/>
          <w:lang w:eastAsia="ru-RU"/>
        </w:rPr>
        <w:t xml:space="preserve">12.  </w:t>
      </w:r>
      <w:r>
        <w:rPr>
          <w:rFonts w:eastAsia="Calibri"/>
          <w:sz w:val="28"/>
          <w:szCs w:val="28"/>
        </w:rP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pPr>
        <w:pStyle w:val="Normal"/>
        <w:suppressAutoHyphens w:val="false"/>
        <w:spacing w:lineRule="auto" w:line="360"/>
        <w:ind w:firstLine="709"/>
        <w:jc w:val="both"/>
        <w:rPr>
          <w:color w:val="000000"/>
          <w:sz w:val="28"/>
          <w:szCs w:val="28"/>
          <w:shd w:fill="FFFFFF" w:val="clear"/>
          <w:lang w:eastAsia="ru-RU"/>
        </w:rPr>
      </w:pPr>
      <w:r>
        <w:rPr>
          <w:color w:val="000000"/>
          <w:sz w:val="28"/>
          <w:szCs w:val="28"/>
          <w:shd w:fill="FFFFFF" w:val="clear"/>
          <w:lang w:eastAsia="ru-RU"/>
        </w:rPr>
        <w:t xml:space="preserve">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w:t>
        <w:br/>
        <w:t>ЕГЭ, дополнительный сентябрьский период</w:t>
      </w:r>
      <w:r>
        <w:rPr>
          <w:rFonts w:eastAsia="Calibri"/>
          <w:sz w:val="24"/>
          <w:szCs w:val="24"/>
        </w:rPr>
        <w:t xml:space="preserve"> </w:t>
      </w:r>
      <w:r>
        <w:rPr>
          <w:color w:val="000000"/>
          <w:sz w:val="28"/>
          <w:szCs w:val="28"/>
          <w:shd w:fill="FFFFFF" w:val="clear"/>
          <w:lang w:eastAsia="ru-RU"/>
        </w:rPr>
        <w:t>проведения ГВЭ, резервные сроки дополнительного сентябрьского периода проведения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13. В случае установления в едином расписании ЕГЭ двух дат проведения </w:t>
        <w:br/>
        <w:t xml:space="preserve">ЕГЭ по одному учебному предмету в рамках основного периода </w:t>
        <w:br/>
        <w:t xml:space="preserve">ГЭК самостоятельно распределяет участников ГИА в форме ЕГЭ, участников ЕГЭ, </w:t>
        <w:br/>
        <w:t>а также лиц, указанных в пункте 3 настоящих Особенностей,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r>
        <w:rPr>
          <w:rStyle w:val="Style18"/>
          <w:color w:val="000000"/>
          <w:sz w:val="28"/>
          <w:szCs w:val="28"/>
          <w:shd w:fill="FFFFFF" w:val="clear"/>
          <w:vertAlign w:val="superscript"/>
          <w:lang w:eastAsia="ru-RU"/>
        </w:rPr>
        <w:footnoteReference w:id="3"/>
      </w:r>
      <w:r>
        <w:rPr>
          <w:color w:val="000000"/>
          <w:sz w:val="28"/>
          <w:szCs w:val="28"/>
          <w:shd w:fill="FFFFFF" w:val="clear"/>
          <w:lang w:eastAsia="ru-RU"/>
        </w:rPr>
        <w:t>.</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14. По решению председателя ГЭК повторно допускаются к сдаче экзамена (экзаменов) по соответствующему учебному предмету (соответствующим учебным предметам) в резервные сроки основного периода: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ГВЭ, принявшие участие в ГИА по обязательным учебным предметам ГВЭ в основной период, но получившие </w:t>
        <w:br/>
        <w:t>на ГИА неудовлетворительный результат по одному из обязательных учебных предметов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лица, указанные в пункте 3 настоящих Особенностей,</w:t>
      </w:r>
      <w:r>
        <w:rPr>
          <w:rFonts w:eastAsia="Calibri"/>
          <w:sz w:val="24"/>
          <w:szCs w:val="24"/>
        </w:rPr>
        <w:t xml:space="preserve"> </w:t>
      </w:r>
      <w:r>
        <w:rPr>
          <w:color w:val="000000"/>
          <w:sz w:val="28"/>
          <w:szCs w:val="28"/>
          <w:shd w:fill="FFFFFF" w:val="clear"/>
          <w:lang w:eastAsia="ru-RU"/>
        </w:rPr>
        <w:t xml:space="preserve">принявшие участие </w:t>
        <w:br/>
        <w:t>в ГИА по русскому языку в форме ГВЭ или ЕГЭ в основной период, но получившие 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принявшие участие в ЕГЭ по русскому языку </w:t>
        <w:br/>
        <w:t>в основной период, но получившие 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участники ЕГЭ, а также лица, указанные </w:t>
        <w:br/>
        <w:t xml:space="preserve">в пункте 3 настоящих Особенностей, у которых совпали сроки проведения </w:t>
        <w:br/>
        <w:t>ЕГЭ по отдельным учебным предметам в основной период;</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ГВЭ, участники ГИА в форме ЕГЭ, участники </w:t>
        <w:br/>
        <w:t xml:space="preserve">ЕГЭ, а также лица, указанные в пункте 3 настоящих Особенностей </w:t>
        <w:br/>
        <w:t xml:space="preserve">(далее вместе – участники экзамена), не явившиеся на экзамен (экзамены) </w:t>
        <w:br/>
        <w:t>в основной период по уважительным причинам (болезнь или иные обстоятельства), подтвержденным документально;</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экзамена, принявшие участие в экзамене в основной период, </w:t>
        <w:br/>
        <w:t xml:space="preserve">но не завершившие выполнение экзаменационной работы по уважительным причинам (болезнь или иные обстоятельства), подтвержденным документально; </w:t>
      </w:r>
      <w:bookmarkStart w:id="0" w:name="_GoBack"/>
      <w:bookmarkEnd w:id="0"/>
      <w:r>
        <w:rPr>
          <w:color w:val="000000"/>
          <w:sz w:val="28"/>
          <w:szCs w:val="28"/>
          <w:shd w:fill="FFFFFF" w:val="clear"/>
          <w:lang w:eastAsia="ru-RU"/>
        </w:rPr>
        <w:t>участники экзамена, принявшие участие в экзамене в основной период, апелляции которых о нарушении Порядка конфликтной комиссией были удовлетворены;</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экзамена, принявшие участие в экзамене в основной период, </w:t>
        <w:br/>
        <w:t xml:space="preserve">чьи результаты были аннулированы по решению председателя ГЭК в случае выявления фактов нарушений Порядка, совершенных лицами, указанными </w:t>
        <w:br/>
        <w:t>в пунктах 59 и 60 Порядка, или иными (в том числе неустановленными) лицами.</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15. 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ГВЭ, впервые принявшие участие </w:t>
        <w:br/>
        <w:t xml:space="preserve">в ГИА по обязательным учебным предметам ГВЭ в резервные сроки основного периода, но получившие на ГИА неудовлетворительный результат по одному </w:t>
        <w:br/>
        <w:t>из обязательных учебных предметов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лица, указанные в пункте 3 настоящих Особенностей,</w:t>
      </w:r>
      <w:r>
        <w:rPr>
          <w:rFonts w:eastAsia="Calibri"/>
          <w:sz w:val="28"/>
          <w:szCs w:val="28"/>
        </w:rPr>
        <w:t xml:space="preserve"> впервые</w:t>
      </w:r>
      <w:r>
        <w:rPr>
          <w:rFonts w:eastAsia="Calibri"/>
          <w:sz w:val="24"/>
          <w:szCs w:val="24"/>
        </w:rPr>
        <w:t xml:space="preserve"> </w:t>
      </w:r>
      <w:r>
        <w:rPr>
          <w:color w:val="000000"/>
          <w:sz w:val="28"/>
          <w:szCs w:val="28"/>
          <w:shd w:fill="FFFFFF" w:val="clear"/>
          <w:lang w:eastAsia="ru-RU"/>
        </w:rPr>
        <w:t>принявшие участие в ГИА по русскому языку в форме ГВЭ или ЕГЭ</w:t>
      </w:r>
      <w:r>
        <w:rPr>
          <w:rFonts w:eastAsia="Calibri"/>
          <w:sz w:val="24"/>
          <w:szCs w:val="24"/>
        </w:rPr>
        <w:t xml:space="preserve"> </w:t>
      </w:r>
      <w:r>
        <w:rPr>
          <w:color w:val="000000"/>
          <w:sz w:val="28"/>
          <w:szCs w:val="28"/>
          <w:shd w:fill="FFFFFF" w:val="clear"/>
          <w:lang w:eastAsia="ru-RU"/>
        </w:rPr>
        <w:t>в резервные сроки основного периода,</w:t>
      </w:r>
      <w:r>
        <w:rPr>
          <w:rFonts w:eastAsia="Calibri"/>
          <w:sz w:val="24"/>
          <w:szCs w:val="24"/>
        </w:rPr>
        <w:t xml:space="preserve"> </w:t>
      </w:r>
      <w:r>
        <w:rPr>
          <w:color w:val="000000"/>
          <w:sz w:val="28"/>
          <w:szCs w:val="28"/>
          <w:shd w:fill="FFFFFF" w:val="clear"/>
          <w:lang w:eastAsia="ru-RU"/>
        </w:rPr>
        <w:t>но получившие 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участники ЕГЭ, а также лица, указанные </w:t>
        <w:br/>
        <w:t xml:space="preserve">в пункте 3 настоящих Особенностей, у которых совпали сроки проведения </w:t>
        <w:br/>
        <w:t>ЕГЭ по отдельным учебным предметам в резервные сроки основного периода;</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экзамена, не явившиеся на экзамен (экзамены) в основной период </w:t>
        <w:br/>
        <w:t>и (или) резервные сроки основного периода по уважительным причинам (болезнь или иные обстоятельства), подтвержденным документально;</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экзамена, впервые принявшие участие в экзаменах в резервные сроки основного периода и повторно допущенные по решению председателя </w:t>
        <w:br/>
        <w:t>ГЭК к сдаче экзамена по соответствующему учебному предмету по причинам, указанным в абзацах седьмом-девятом пункта 14 настоящих Особенностей.</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16. В резервные сроки дополнительного периода проведения </w:t>
        <w:br/>
        <w:t>ЕГЭ</w:t>
      </w:r>
      <w:r>
        <w:rPr>
          <w:rFonts w:eastAsia="Calibri"/>
          <w:sz w:val="24"/>
          <w:szCs w:val="24"/>
        </w:rPr>
        <w:t xml:space="preserve"> </w:t>
      </w:r>
      <w:r>
        <w:rPr>
          <w:color w:val="000000"/>
          <w:sz w:val="28"/>
          <w:szCs w:val="28"/>
          <w:shd w:fill="FFFFFF" w:val="clear"/>
          <w:lang w:eastAsia="ru-RU"/>
        </w:rPr>
        <w:t>к сдаче экзамена по соответствующему учебному предмету по решению председателя ГЭК допускаются: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впервые принявшие участие в ЕГЭ по русскому языку в дополнительный период проведения экзаменов, но получившие </w:t>
        <w:br/>
        <w:t>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лица,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участники ЕГЭ, а также лица, указанные </w:t>
        <w:br/>
        <w:t xml:space="preserve">в пункте 3 настоящих Особенностей, у которых совпали сроки проведения </w:t>
        <w:br/>
        <w:t>ЕГЭ по отдельным учебным предметам в дополнительный период проведения экзаменов;</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участники ЕГЭ, а также лица, указанные </w:t>
        <w:br/>
        <w:t xml:space="preserve">в пункте 3 настоящих Особенностей, не явившиеся на экзамен </w:t>
        <w:br/>
        <w:t>в дополнительный период проведения экзаменов по уважительным причинам (болезнь или иные обстоятельства), подтвержденным документально;</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ЕГЭ, участники ЕГЭ, а также лица, указанные </w:t>
        <w:br/>
        <w:t xml:space="preserve">в пункте 3 настоящих Особенностей, впервые принявшие участие в экзаменах </w:t>
        <w:br/>
        <w:t xml:space="preserve">в дополнительный период проведения экзаменов и повторно допущенные </w:t>
        <w:br/>
        <w:t>по решению председателя ГЭК к сдаче экзамена по соответствующему учебному предмету по причинам, указанным в абзацах седьмом-девятом пункта 14 настоящих Особенностей.</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17. Участники ГИА в форме ЕГЭ, не прошедшие ЕГЭ по русскому языку </w:t>
        <w:br/>
        <w:t xml:space="preserve">в установленные сроки или получившие повторно неудовлетворительный результат ЕГЭ по русскому языку в установленные сроки, проходят ГИА в форме </w:t>
        <w:br/>
        <w:t>ГВЭ по русскому языку и математике в дополнительный сентябрьский период проведения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Лица, указанные в пункте 3 настоящих Особенностей, не прошедшие </w:t>
        <w:br/>
        <w:t>ГИА в форме ЕГЭ по русскому языку</w:t>
      </w:r>
      <w:r>
        <w:rPr>
          <w:rFonts w:eastAsia="Calibri"/>
          <w:sz w:val="24"/>
          <w:szCs w:val="24"/>
        </w:rPr>
        <w:t xml:space="preserve"> </w:t>
      </w:r>
      <w:r>
        <w:rPr>
          <w:color w:val="000000"/>
          <w:sz w:val="28"/>
          <w:szCs w:val="28"/>
          <w:shd w:fill="FFFFFF" w:val="clear"/>
          <w:lang w:eastAsia="ru-RU"/>
        </w:rPr>
        <w:t>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18. В дополнительный сентябрьский период проведения ГВЭ к сдаче </w:t>
        <w:br/>
        <w:t>ГИА в форме ГВЭ по соответствующему учебному предмету (соответствующим учебным предметам) по решению председателя ГЭК допускаются:</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участники ГИА в форме ГВЭ, не прошедшие ГИА по обязательным учебным предметам ГВЭ или получившие на ГИА неудовлетворительные результаты более чем по одному обязательному учебному предмету ГВЭ, либо получившие повторно неудовлетворительный результат по одному из этих предметов </w:t>
        <w:br/>
        <w:t>на ГИА в установленные сроки;</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лица, указанные в пункте 3 настоящих Особенностей,</w:t>
      </w:r>
      <w:r>
        <w:rPr>
          <w:rFonts w:eastAsia="Calibri"/>
          <w:sz w:val="24"/>
          <w:szCs w:val="24"/>
        </w:rPr>
        <w:t xml:space="preserve"> </w:t>
      </w:r>
      <w:r>
        <w:rPr>
          <w:color w:val="000000"/>
          <w:sz w:val="28"/>
          <w:szCs w:val="28"/>
          <w:shd w:fill="FFFFFF" w:val="clear"/>
          <w:lang w:eastAsia="ru-RU"/>
        </w:rPr>
        <w:t xml:space="preserve">не прошедшие </w:t>
        <w:br/>
        <w:t>ГИА в форме ГВЭ по русскому языку</w:t>
      </w:r>
      <w:r>
        <w:rPr>
          <w:rFonts w:eastAsia="Calibri"/>
          <w:sz w:val="24"/>
          <w:szCs w:val="24"/>
        </w:rPr>
        <w:t xml:space="preserve"> </w:t>
      </w:r>
      <w:r>
        <w:rPr>
          <w:color w:val="000000"/>
          <w:sz w:val="28"/>
          <w:szCs w:val="28"/>
          <w:shd w:fill="FFFFFF" w:val="clear"/>
          <w:lang w:eastAsia="ru-RU"/>
        </w:rPr>
        <w:t xml:space="preserve">или получившие повторно неудовлетворительный результат по указанному учебному предмету </w:t>
        <w:br/>
        <w:t>в установленные сроки;</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лица, указанные в пункте 17 настоящих Особенностей.</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19. 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w:t>
        <w:br/>
        <w:t xml:space="preserve">ГЭК допускаются участники ГИА в форме ГВЭ, участники ГИА в форме </w:t>
        <w:br/>
        <w:t xml:space="preserve">ЕГЭ, лица, указанные в пункте 3 настоящих Особенностей, принявшие участие </w:t>
        <w:br/>
        <w:t>в ГИА в форме ГВЭ в дополнительный сентябрьский период проведения ГВЭ</w:t>
      </w:r>
      <w:r>
        <w:rPr>
          <w:rFonts w:eastAsia="Calibri"/>
          <w:sz w:val="24"/>
          <w:szCs w:val="24"/>
        </w:rPr>
        <w:t xml:space="preserve"> </w:t>
        <w:br/>
      </w:r>
      <w:r>
        <w:rPr>
          <w:color w:val="000000"/>
          <w:sz w:val="28"/>
          <w:szCs w:val="28"/>
          <w:shd w:fill="FFFFFF" w:val="clear"/>
          <w:lang w:eastAsia="ru-RU"/>
        </w:rPr>
        <w:t xml:space="preserve">и повторно допущенные по решению председателя ГЭК к сдаче экзамена </w:t>
        <w:br/>
        <w:t>по соответствующему учебному предмету по причинам, указанным в абзацах втором-третьем, шестом-девятом пункта 14 настоящих Особенностей.</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20. Количество и места расположения ППЭ определяются исходя </w:t>
        <w:br/>
        <w:t>из санитарно-эпидемиологической обстановки и особенностей распространения новой коронавирусной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r>
        <w:rPr>
          <w:rStyle w:val="Style18"/>
          <w:color w:val="000000"/>
          <w:sz w:val="28"/>
          <w:szCs w:val="28"/>
          <w:shd w:fill="FFFFFF" w:val="clear"/>
          <w:vertAlign w:val="superscript"/>
          <w:lang w:eastAsia="ru-RU"/>
        </w:rPr>
        <w:footnoteReference w:id="4"/>
      </w:r>
      <w:r>
        <w:rPr>
          <w:color w:val="000000"/>
          <w:sz w:val="28"/>
          <w:szCs w:val="28"/>
          <w:shd w:fill="FFFFFF" w:val="clear"/>
          <w:lang w:eastAsia="ru-RU"/>
        </w:rPr>
        <w:t>.</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21. 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представительства </w:t>
        <w:br/>
        <w:t xml:space="preserve">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 решение </w:t>
        <w:br/>
        <w:t>о переносе проведения экзамена в другой ППЭ или на другой день, предусмотренный единым расписанием ЕГЭ, ГВЭ.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22. При проведении экзамена по учебному предмету в состав организаторов </w:t>
        <w:br/>
        <w:t>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 работников организаций, осуществляющих образовательную деятельность, являющихся учителями обучающихся, сдающих экзамен в данном ППЭ.</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Привлечение педагогических работников к организации и проведению </w:t>
        <w:br/>
        <w:t xml:space="preserve">ЕГЭ осуществляется ОИВ в рамках полномочий, определенных пунктом </w:t>
        <w:br/>
        <w:t xml:space="preserve">31 Порядка, с соблюдением требований части 9 статьи 47 Федерального закона </w:t>
        <w:br/>
        <w:t>от 29 декабря 2012 г. № 273-ФЗ «Об образовании в Российской Федерации»</w:t>
      </w:r>
      <w:r>
        <w:rPr>
          <w:rStyle w:val="Style18"/>
          <w:color w:val="000000"/>
          <w:sz w:val="28"/>
          <w:szCs w:val="28"/>
          <w:shd w:fill="FFFFFF" w:val="clear"/>
          <w:vertAlign w:val="superscript"/>
          <w:lang w:eastAsia="ru-RU"/>
        </w:rPr>
        <w:footnoteReference w:id="5"/>
      </w:r>
      <w:r>
        <w:rPr>
          <w:color w:val="000000"/>
          <w:sz w:val="28"/>
          <w:szCs w:val="28"/>
          <w:shd w:fill="FFFFFF" w:val="clear"/>
          <w:lang w:eastAsia="ru-RU"/>
        </w:rPr>
        <w:t xml:space="preserve">. </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 xml:space="preserve">23.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 </w:t>
      </w:r>
    </w:p>
    <w:p>
      <w:pPr>
        <w:pStyle w:val="Normal"/>
        <w:suppressAutoHyphens w:val="false"/>
        <w:spacing w:lineRule="auto" w:line="360"/>
        <w:ind w:firstLine="709"/>
        <w:jc w:val="both"/>
        <w:rPr>
          <w:rFonts w:eastAsia="Calibri"/>
          <w:sz w:val="24"/>
          <w:szCs w:val="24"/>
        </w:rPr>
      </w:pPr>
      <w:r>
        <w:rPr>
          <w:color w:val="000000"/>
          <w:sz w:val="28"/>
          <w:szCs w:val="28"/>
          <w:shd w:fill="FFFFFF" w:val="clear"/>
          <w:lang w:eastAsia="ru-RU"/>
        </w:rPr>
        <w:t>24.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sectPr>
      <w:footnotePr>
        <w:numFmt w:val="decimal"/>
      </w:footnotePr>
      <w:type w:val="nextPage"/>
      <w:pgSz w:w="11906" w:h="16838"/>
      <w:pgMar w:left="1134" w:right="567" w:header="0" w:top="910"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PT Sans">
    <w:charset w:val="cc"/>
    <w:family w:val="roman"/>
    <w:pitch w:val="variable"/>
  </w:font>
  <w:font w:name="JournalSans">
    <w:charset w:val="cc"/>
    <w:family w:val="roman"/>
    <w:pitch w:val="variable"/>
  </w:font>
  <w:font w:name="Arial">
    <w:charset w:val="cc"/>
    <w:family w:val="roman"/>
    <w:pitch w:val="variable"/>
  </w:font>
  <w:font w:name="Calibri">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lang w:eastAsia="en-US"/>
        </w:rPr>
      </w:pPr>
      <w:r>
        <w:rPr>
          <w:rStyle w:val="Style17"/>
        </w:rPr>
        <w:footnoteRef/>
      </w:r>
      <w:r>
        <w:rPr/>
        <w:t xml:space="preserve"> </w:t>
      </w:r>
      <w:r>
        <w:rPr>
          <w:lang w:eastAsia="en-US"/>
        </w:rPr>
        <w:t xml:space="preserve">Федеральный закон от 27 июля 2006 г. № 152 «О персональных данных» (Собрание законодательства Российской Федерации; 2006, № 31, ст. 3451; 2021, № 1, ст. 54). </w:t>
      </w:r>
    </w:p>
    <w:p>
      <w:pPr>
        <w:pStyle w:val="Style32"/>
        <w:rPr/>
      </w:pPr>
      <w:r>
        <w:rPr/>
      </w:r>
    </w:p>
  </w:footnote>
  <w:footnote w:id="3">
    <w:p>
      <w:pPr>
        <w:pStyle w:val="Normal"/>
        <w:jc w:val="both"/>
        <w:rPr>
          <w:rFonts w:ascii="Calibri" w:hAnsi="Calibri"/>
          <w:lang w:eastAsia="en-US"/>
        </w:rPr>
      </w:pPr>
      <w:r>
        <w:rPr>
          <w:rStyle w:val="Style17"/>
        </w:rPr>
        <w:footnoteRef/>
      </w:r>
      <w:r>
        <w:rPr/>
        <w:t xml:space="preserve"> </w:t>
      </w:r>
      <w:r>
        <w:rPr>
          <w:lang w:eastAsia="en-US"/>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w:t>
        <w:br/>
        <w:t>от 28 сентября 2020 г. № 28 (зарегистрированы Министерством юстиции Российской Федерации 18 декабря 2020 г., регистрационный  №  61573)  (далее – СП 2.4.3648-20).</w:t>
      </w:r>
    </w:p>
    <w:p>
      <w:pPr>
        <w:pStyle w:val="Style32"/>
        <w:rPr/>
      </w:pPr>
      <w:r>
        <w:rPr/>
      </w:r>
    </w:p>
  </w:footnote>
  <w:footnote w:id="4">
    <w:p>
      <w:pPr>
        <w:pStyle w:val="Style32"/>
        <w:rPr/>
      </w:pPr>
      <w:r>
        <w:rPr>
          <w:rStyle w:val="Style17"/>
        </w:rPr>
        <w:footnoteRef/>
      </w:r>
      <w:r>
        <w:rPr/>
        <w:t xml:space="preserve"> </w:t>
      </w:r>
      <w:r>
        <w:rPr>
          <w:lang w:eastAsia="en-US"/>
        </w:rPr>
        <w:t>СП 2.4.3648-20</w:t>
      </w:r>
    </w:p>
  </w:footnote>
  <w:footnote w:id="5">
    <w:p>
      <w:pPr>
        <w:pStyle w:val="Normal"/>
        <w:suppressAutoHyphens w:val="false"/>
        <w:jc w:val="both"/>
        <w:rPr/>
      </w:pPr>
      <w:r>
        <w:rPr>
          <w:rStyle w:val="Style17"/>
        </w:rPr>
        <w:footnoteRef/>
      </w:r>
      <w:r>
        <w:rPr>
          <w:color w:val="000000"/>
          <w:shd w:fill="FFFFFF" w:val="clear"/>
          <w:lang w:eastAsia="ru-RU"/>
        </w:rPr>
        <w:t xml:space="preserve"> </w:t>
      </w:r>
      <w:r>
        <w:rPr>
          <w:color w:val="000000"/>
          <w:shd w:fill="FFFFFF" w:val="clear"/>
          <w:lang w:eastAsia="ru-RU"/>
        </w:rPr>
        <w:t>Собрание законодательства Российской Федерации, 2012, № 53, ст. 7598; 2018, № 28, ст. 4152)</w:t>
      </w:r>
    </w:p>
    <w:p>
      <w:pPr>
        <w:pStyle w:val="Style32"/>
        <w:rPr>
          <w:rFonts w:eastAsia="Times New Roman"/>
          <w:color w:val="000000"/>
          <w:shd w:fill="FFFFFF" w:val="clear"/>
          <w:lang w:eastAsia="ru-R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797"/>
        </w:tabs>
        <w:ind w:left="8866"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zh-CN" w:val="ru-RU" w:bidi="ar-SA"/>
    </w:rPr>
  </w:style>
  <w:style w:type="character" w:styleId="DefaultParagraphFont" w:default="1">
    <w:name w:val="Default Paragraph Font"/>
    <w:uiPriority w:val="1"/>
    <w:semiHidden/>
    <w:unhideWhenUsed/>
    <w:qFormat/>
    <w:rPr/>
  </w:style>
  <w:style w:type="character" w:styleId="WW8Num1z0" w:customStyle="1">
    <w:name w:val="WW8Num1z0"/>
    <w:qFormat/>
    <w:rPr>
      <w:sz w:val="28"/>
      <w:szCs w:val="28"/>
    </w:rPr>
  </w:style>
  <w:style w:type="character" w:styleId="1" w:customStyle="1">
    <w:name w:val="Основной шрифт абзаца1"/>
    <w:qFormat/>
    <w:rPr/>
  </w:style>
  <w:style w:type="character" w:styleId="Style14" w:customStyle="1">
    <w:name w:val="Верхний колонтитул Знак"/>
    <w:basedOn w:val="1"/>
    <w:qFormat/>
    <w:rPr/>
  </w:style>
  <w:style w:type="character" w:styleId="Style15" w:customStyle="1">
    <w:name w:val="Нижний колонтитул Знак"/>
    <w:basedOn w:val="1"/>
    <w:uiPriority w:val="99"/>
    <w:qFormat/>
    <w:rPr/>
  </w:style>
  <w:style w:type="character" w:styleId="Style16" w:customStyle="1">
    <w:name w:val="Текст выноски Знак"/>
    <w:link w:val="ad"/>
    <w:uiPriority w:val="99"/>
    <w:semiHidden/>
    <w:qFormat/>
    <w:rsid w:val="007f6c2f"/>
    <w:rPr>
      <w:rFonts w:ascii="Tahoma" w:hAnsi="Tahoma" w:cs="Tahoma"/>
      <w:sz w:val="16"/>
      <w:szCs w:val="16"/>
      <w:lang w:eastAsia="zh-CN"/>
    </w:rPr>
  </w:style>
  <w:style w:type="character" w:styleId="Style17" w:customStyle="1">
    <w:name w:val="Символ сноски"/>
    <w:qFormat/>
    <w:rsid w:val="00fd0b30"/>
    <w:rPr>
      <w:vertAlign w:val="superscript"/>
    </w:rPr>
  </w:style>
  <w:style w:type="character" w:styleId="Style18">
    <w:name w:val="Привязка сноски"/>
    <w:rPr>
      <w:vertAlign w:val="superscript"/>
    </w:rPr>
  </w:style>
  <w:style w:type="character" w:styleId="FootnoteCharacters">
    <w:name w:val="Footnote Characters"/>
    <w:qFormat/>
    <w:rsid w:val="00fd0b30"/>
    <w:rPr>
      <w:vertAlign w:val="superscript"/>
    </w:rPr>
  </w:style>
  <w:style w:type="character" w:styleId="Style19" w:customStyle="1">
    <w:name w:val="Текст сноски Знак"/>
    <w:basedOn w:val="DefaultParagraphFont"/>
    <w:link w:val="af1"/>
    <w:qFormat/>
    <w:rsid w:val="00fd0b30"/>
    <w:rPr>
      <w:rFonts w:eastAsia="Calibri"/>
      <w:lang w:eastAsia="zh-CN"/>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jc w:val="center"/>
    </w:pPr>
    <w:rPr>
      <w:sz w:val="28"/>
    </w:rPr>
  </w:style>
  <w:style w:type="paragraph" w:styleId="Style23">
    <w:name w:val="Body Text"/>
    <w:basedOn w:val="Normal"/>
    <w:pPr>
      <w:spacing w:lineRule="auto" w:line="276" w:before="0" w:after="140"/>
    </w:pPr>
    <w:rPr/>
  </w:style>
  <w:style w:type="paragraph" w:styleId="Style24">
    <w:name w:val="List"/>
    <w:basedOn w:val="Style23"/>
    <w:pPr/>
    <w:rPr>
      <w:rFonts w:ascii="PT Sans" w:hAnsi="PT Sans" w:cs="Noto Sans Devanagari"/>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11" w:customStyle="1">
    <w:name w:val="Указатель1"/>
    <w:basedOn w:val="Normal"/>
    <w:qFormat/>
    <w:pPr>
      <w:suppressLineNumbers/>
    </w:pPr>
    <w:rPr>
      <w:rFonts w:ascii="PT Sans" w:hAnsi="PT Sans" w:cs="Noto Sans Devanagari"/>
    </w:rPr>
  </w:style>
  <w:style w:type="paragraph" w:styleId="12" w:customStyle="1">
    <w:name w:val="заголовок 1"/>
    <w:basedOn w:val="Normal"/>
    <w:next w:val="Normal"/>
    <w:qFormat/>
    <w:pPr>
      <w:keepNext w:val="true"/>
      <w:spacing w:lineRule="atLeast" w:line="240"/>
      <w:jc w:val="center"/>
    </w:pPr>
    <w:rPr>
      <w:spacing w:val="20"/>
      <w:sz w:val="36"/>
    </w:rPr>
  </w:style>
  <w:style w:type="paragraph" w:styleId="Oiiaee" w:customStyle="1">
    <w:name w:val="Oiia?ee"/>
    <w:basedOn w:val="Normal"/>
    <w:qFormat/>
    <w:pPr/>
    <w:rPr>
      <w:sz w:val="28"/>
    </w:rPr>
  </w:style>
  <w:style w:type="paragraph" w:styleId="Style27">
    <w:name w:val="Верхний и нижний колонтитулы"/>
    <w:basedOn w:val="Normal"/>
    <w:qFormat/>
    <w:pPr/>
    <w:rPr/>
  </w:style>
  <w:style w:type="paragraph" w:styleId="Style28">
    <w:name w:val="Header"/>
    <w:basedOn w:val="Normal"/>
    <w:pPr>
      <w:tabs>
        <w:tab w:val="clear" w:pos="708"/>
        <w:tab w:val="center" w:pos="4677" w:leader="none"/>
        <w:tab w:val="right" w:pos="9355" w:leader="none"/>
      </w:tabs>
    </w:pPr>
    <w:rPr/>
  </w:style>
  <w:style w:type="paragraph" w:styleId="Style29">
    <w:name w:val="Footer"/>
    <w:basedOn w:val="Normal"/>
    <w:uiPriority w:val="99"/>
    <w:pPr>
      <w:tabs>
        <w:tab w:val="clear" w:pos="708"/>
        <w:tab w:val="center" w:pos="4677" w:leader="none"/>
        <w:tab w:val="right" w:pos="9355" w:leader="none"/>
      </w:tabs>
    </w:pPr>
    <w:rPr/>
  </w:style>
  <w:style w:type="paragraph" w:styleId="Style30" w:customStyle="1">
    <w:name w:val="Содержимое таблицы"/>
    <w:basedOn w:val="Normal"/>
    <w:qFormat/>
    <w:pPr>
      <w:suppressLineNumbers/>
    </w:pPr>
    <w:rPr/>
  </w:style>
  <w:style w:type="paragraph" w:styleId="Style31" w:customStyle="1">
    <w:name w:val="Заголовок таблицы"/>
    <w:basedOn w:val="Style30"/>
    <w:qFormat/>
    <w:pPr>
      <w:jc w:val="center"/>
    </w:pPr>
    <w:rPr>
      <w:b/>
      <w:bCs/>
    </w:rPr>
  </w:style>
  <w:style w:type="paragraph" w:styleId="BalloonText">
    <w:name w:val="Balloon Text"/>
    <w:basedOn w:val="Normal"/>
    <w:link w:val="ae"/>
    <w:uiPriority w:val="99"/>
    <w:semiHidden/>
    <w:unhideWhenUsed/>
    <w:qFormat/>
    <w:rsid w:val="007f6c2f"/>
    <w:pPr/>
    <w:rPr>
      <w:rFonts w:ascii="Tahoma" w:hAnsi="Tahoma" w:cs="Tahoma"/>
      <w:sz w:val="16"/>
      <w:szCs w:val="16"/>
    </w:rPr>
  </w:style>
  <w:style w:type="paragraph" w:styleId="Style32">
    <w:name w:val="Footnote Text"/>
    <w:basedOn w:val="Normal"/>
    <w:link w:val="af2"/>
    <w:rsid w:val="00fd0b30"/>
    <w:pPr>
      <w:widowControl w:val="false"/>
    </w:pPr>
    <w:rPr>
      <w:rFonts w:eastAsia="Calib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4</Pages>
  <Words>2997</Words>
  <Characters>20377</Characters>
  <CharactersWithSpaces>23419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2021-02-24T16:52:00Z</dcterms:created>
  <dc:creator>Пользователь</dc:creator>
  <dc:description/>
  <dc:language>ru-RU</dc:language>
  <cp:lastModifiedBy>Бойченко Анна Сергеевна</cp:lastModifiedBy>
  <cp:lastPrinted>2020-06-11T09:19:00Z</cp:lastPrinted>
  <dcterms:modified xsi:type="dcterms:W3CDTF">2021-02-24T16:52:00Z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